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 xmlns:m="http://schemas.openxmlformats.org/officeDocument/2006/math">
  <w:body>
    <w:p>
      <w:pPr>
        <w:pStyle w:val="Heading1"/>
        <w:spacing w:before="297" w:after="294" w:line="241" w:lineRule="auto"/>
      </w:pPr>
      <w:r>
        <w:t xml:space="preserve">Meeting notes</w:t>
      </w:r>
    </w:p>
    <w:p>
      <w:pPr>
        <w:spacing w:before="294" w:after="220" w:line="241" w:lineRule="auto"/>
      </w:pPr>
      <w:r>
        <w:t xml:space="preserve">Held on </w:t>
      </w:r>
      <w:r>
        <w:rPr>
          <w:b/>
          <w:bCs/>
        </w:rPr>
        <w:t xml:space="preserve">2 July 2026</w:t>
      </w:r>
      <w:r>
        <w:t xml:space="preserve"> with the </w:t>
      </w:r>
      <w:r>
        <w:rPr>
          <w:i/>
          <w:iCs/>
        </w:rPr>
        <w:t xml:space="preserve">regional leads</w:t>
      </w:r>
      <w:r>
        <w:t xml:space="preserve">. The full figures are in the </w:t>
      </w:r>
      <w:hyperlink r:id="rId4" w:history="1">
        <w:r>
          <w:rPr>
            <w:color w:val="0000EE"/>
            <w:u w:val="single"/>
          </w:rPr>
          <w:t xml:space="preserve">quarterly report</w:t>
        </w:r>
      </w:hyperlink>
      <w:r>
        <w:t xml:space="preserve">.</w:t>
      </w:r>
    </w:p>
    <w:p>
      <w:pPr>
        <w:pStyle w:val="Heading2"/>
        <w:spacing w:before="274" w:after="274" w:line="241" w:lineRule="auto"/>
      </w:pPr>
      <w:r>
        <w:t xml:space="preserve">Decisions</w:t>
      </w:r>
    </w:p>
    <w:p>
      <w:pPr>
        <w:numPr>
          <w:ilvl w:val="0"/>
          <w:numId w:val="1"/>
        </w:numPr>
        <w:spacing w:before="274" w:line="241" w:lineRule="auto"/>
        <w:ind w:left="600" w:hanging="50"/>
      </w:pPr>
      <w:r>
        <w:t xml:space="preserve">Open the second store in the north</w:t>
      </w:r>
    </w:p>
    <w:p>
      <w:pPr>
        <w:numPr>
          <w:ilvl w:val="1"/>
          <w:numId w:val="2"/>
        </w:numPr>
        <w:spacing w:before="0" w:line="241" w:lineRule="auto"/>
        <w:ind w:left="1200" w:hanging="50"/>
      </w:pPr>
      <w:r>
        <w:t xml:space="preserve">site chosen by the end of July</w:t>
      </w:r>
    </w:p>
    <w:p>
      <w:pPr>
        <w:numPr>
          <w:ilvl w:val="1"/>
          <w:numId w:val="2"/>
        </w:numPr>
        <w:spacing w:before="0" w:line="241" w:lineRule="auto"/>
        <w:ind w:left="1200" w:hanging="50"/>
      </w:pPr>
      <w:r>
        <w:t xml:space="preserve">staff hired in August</w:t>
      </w:r>
    </w:p>
    <w:p>
      <w:pPr>
        <w:numPr>
          <w:ilvl w:val="0"/>
          <w:numId w:val="1"/>
        </w:numPr>
        <w:spacing w:before="0" w:after="220" w:line="241" w:lineRule="auto"/>
        <w:ind w:left="600" w:hanging="50"/>
      </w:pPr>
      <w:r>
        <w:t xml:space="preserve">Move the west region </w:t>
      </w:r>
      <w:r>
        <w:rPr>
          <w:color w:val="C00000"/>
        </w:rPr>
        <w:t xml:space="preserve">fully online</w:t>
      </w:r>
    </w:p>
    <w:p>
      <w:pPr>
        <w:pStyle w:val="Heading2"/>
        <w:spacing w:before="274" w:after="273" w:line="241" w:lineRule="auto"/>
      </w:pPr>
      <w:r>
        <w:t xml:space="preserve">Budget</w:t>
      </w:r>
    </w:p>
    <w:tbl>
      <w:tblPr>
        <w:tblW w:w="9638" w:type="dxa"/>
        <w:tblLayout w:type="fixed"/>
        <w:tblLook w:val="04A0" w:firstRow="1" w:lastRow="0" w:firstColumn="1" w:lastColumn="0" w:noHBand="0" w:noVBand="1"/>
      </w:tblPr>
      <w:tblGrid>
        <w:gridCol w:w="5315"/>
        <w:gridCol w:w="4323"/>
      </w:tblGrid>
      <w:tr>
        <w:trPr>
          <w:tblHeader/>
        </w:trPr>
        <w:tc>
          <w:tcPr>
            <w:tcW w:w="5315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2F5496"/>
            <w:tcMar>
              <w:top w:w="60" w:type="dxa"/>
              <w:left w:w="120" w:type="dxa"/>
              <w:bottom w:w="59" w:type="dxa"/>
              <w:right w:w="120" w:type="dxa"/>
            </w:tcMar>
            <w:vAlign w:val="center"/>
          </w:tcPr>
          <w:p>
            <w:pPr>
              <w:spacing w:before="1" w:after="0" w:line="241" w:lineRule="auto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 xml:space="preserve">Item</w:t>
            </w:r>
          </w:p>
        </w:tc>
        <w:tc>
          <w:tcPr>
            <w:tcW w:w="4323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2F5496"/>
            <w:tcMar>
              <w:top w:w="60" w:type="dxa"/>
              <w:left w:w="120" w:type="dxa"/>
              <w:bottom w:w="59" w:type="dxa"/>
              <w:right w:w="120" w:type="dxa"/>
            </w:tcMar>
            <w:vAlign w:val="center"/>
          </w:tcPr>
          <w:p>
            <w:pPr>
              <w:spacing w:before="1" w:after="0" w:line="241" w:lineRule="auto"/>
              <w:jc w:val="right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 xml:space="preserve">Amount, k$</w:t>
            </w:r>
          </w:p>
        </w:tc>
      </w:tr>
      <w:tr>
        <w:tc>
          <w:tcPr>
            <w:tcW w:w="5315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tcMar>
              <w:top w:w="60" w:type="dxa"/>
              <w:left w:w="120" w:type="dxa"/>
              <w:bottom w:w="59" w:type="dxa"/>
              <w:right w:w="120" w:type="dxa"/>
            </w:tcMar>
            <w:vAlign w:val="center"/>
          </w:tcPr>
          <w:p>
            <w:pPr>
              <w:spacing w:before="1" w:after="0" w:line="241" w:lineRule="auto"/>
            </w:pPr>
            <w:r>
              <w:t xml:space="preserve">New store</w:t>
            </w:r>
          </w:p>
        </w:tc>
        <w:tc>
          <w:tcPr>
            <w:tcW w:w="4323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tcMar>
              <w:top w:w="60" w:type="dxa"/>
              <w:left w:w="120" w:type="dxa"/>
              <w:bottom w:w="59" w:type="dxa"/>
              <w:right w:w="120" w:type="dxa"/>
            </w:tcMar>
            <w:vAlign w:val="center"/>
          </w:tcPr>
          <w:p>
            <w:pPr>
              <w:spacing w:before="1" w:after="0" w:line="241" w:lineRule="auto"/>
              <w:jc w:val="right"/>
            </w:pPr>
            <w:r>
              <w:t xml:space="preserve">420</w:t>
            </w:r>
          </w:p>
        </w:tc>
      </w:tr>
      <w:tr>
        <w:tc>
          <w:tcPr>
            <w:tcW w:w="5315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D9E2F3"/>
            <w:tcMar>
              <w:top w:w="60" w:type="dxa"/>
              <w:left w:w="120" w:type="dxa"/>
              <w:bottom w:w="59" w:type="dxa"/>
              <w:right w:w="120" w:type="dxa"/>
            </w:tcMar>
            <w:vAlign w:val="center"/>
          </w:tcPr>
          <w:p>
            <w:pPr>
              <w:spacing w:before="1" w:after="0" w:line="241" w:lineRule="auto"/>
            </w:pPr>
            <w:r>
              <w:t xml:space="preserve">Online platform</w:t>
            </w:r>
          </w:p>
        </w:tc>
        <w:tc>
          <w:tcPr>
            <w:tcW w:w="4323" w:type="dxa"/>
            <w:tcBorders>
              <w:top w:val="single" w:sz="6" w:space="0" w:color="8EAADB"/>
              <w:left w:val="single" w:sz="6" w:space="0" w:color="8EAADB"/>
              <w:bottom w:val="single" w:sz="6" w:space="0" w:color="8EAADB"/>
              <w:right w:val="single" w:sz="6" w:space="0" w:color="8EAADB"/>
            </w:tcBorders>
            <w:shd w:val="clear" w:color="auto" w:fill="D9E2F3"/>
            <w:tcMar>
              <w:top w:w="60" w:type="dxa"/>
              <w:left w:w="120" w:type="dxa"/>
              <w:bottom w:w="59" w:type="dxa"/>
              <w:right w:w="120" w:type="dxa"/>
            </w:tcMar>
            <w:vAlign w:val="center"/>
          </w:tcPr>
          <w:p>
            <w:pPr>
              <w:spacing w:before="1" w:after="0" w:line="241" w:lineRule="auto"/>
              <w:jc w:val="right"/>
            </w:pPr>
            <w:r>
              <w:t xml:space="preserve">135</w:t>
            </w:r>
          </w:p>
        </w:tc>
      </w:tr>
    </w:tbl>
    <w:p>
      <w:pPr>
        <w:spacing w:before="220" w:after="220"/>
        <w:jc w:val="center"/>
      </w:pPr>
      <w:r>
        <w:drawing>
          <wp:inline distT="0" distB="0" distL="0" distR="0">
            <wp:extent cx="4572000" cy="2095500"/>
            <wp:effectExtent l="0" t="0" r="0" b="0"/>
            <wp:docPr id="1" name="Picture 1" descr="Revenue by month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Picture 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80" w:after="220" w:line="241" w:lineRule="auto"/>
        <w:jc w:val="center"/>
      </w:pPr>
      <w:r>
        <w:rPr>
          <w:i/>
          <w:iCs/>
        </w:rPr>
        <w:t xml:space="preserve">Revenue by month, thousand dollars</w:t>
      </w:r>
    </w:p>
    <w:p>
      <w:pPr>
        <w:spacing w:before="220" w:after="220" w:line="241" w:lineRule="auto"/>
      </w:pPr>
      <w:r>
        <w:drawing>
          <wp:anchor distT="0" distB="0" distL="114300" distR="114300" simplePos="0" relativeHeight="2" behindDoc="0" locked="0" layoutInCell="1" allowOverlap="1">
            <wp:simplePos x="0" y="0"/>
            <wp:positionH relativeFrom="column">
              <wp:align>right</wp:align>
            </wp:positionH>
            <wp:positionV relativeFrom="paragraph">
              <wp:posOffset>0</wp:posOffset>
            </wp:positionV>
            <wp:extent cx="1905000" cy="873125"/>
            <wp:effectExtent l="0" t="0" r="0" b="0"/>
            <wp:wrapSquare wrapText="bothSides"/>
            <wp:docPr id="2" name="Picture 2" descr="Revenue by month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Picture 2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873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Every region reported on time. The north opened its new store in May and the west moved half of its sales online; the south stayed flat, as planned. The chart on the right repeats the monthly revenue at a smaller size, so the text flows around it the way it does in the editor.</w:t>
      </w:r>
    </w:p>
    <w:p>
      <w:pPr>
        <w:spacing w:before="220" w:after="220" w:line="241" w:lineRule="auto"/>
        <w:ind w:left="600" w:right="600"/>
      </w:pPr>
      <w:r>
        <w:t xml:space="preserve">Every month of the quarter beat the same month of last year.</w:t>
      </w:r>
    </w:p>
    <w:p>
      <w:pPr>
        <w:spacing w:before="250" w:after="189" w:line="295" w:lineRule="auto"/>
        <w:jc w:val="both"/>
      </w:pPr>
      <w:r>
        <w:t xml:space="preserve">Next meeting: </w:t>
      </w:r>
      <w:r>
        <w:rPr>
          <w:u w:val="single"/>
        </w:rPr>
        <w:t xml:space="preserve">15 October</w:t>
      </w:r>
      <w:r>
        <w:t xml:space="preserve">, after the third quarter is closed. Please send your region's numbers two days before, so they can be checked against the ledger.</w:t>
      </w:r>
    </w:p>
    <w:sectPr>
      <w:pgSz w:w="11906" w:h="16838"/>
      <w:pgMar w:top="1134" w:right="1134" w:bottom="1134" w:left="1134" w:header="708" w:footer="708" w:gutter="0"/>
      <w:cols w:space="708"/>
    </w:sectPr>
  </w:body>
</w:document>
</file>

<file path=word/numbering.xml><?xml version="1.0" encoding="utf-8"?>
<w:numbering xmlns:w="http://schemas.openxmlformats.org/wordprocessingml/2006/main">
  <w:abstractNum w:abstractNumId="1">
    <w:multiLevelType w:val="hybridMultilevel"/>
    <w:lvl w:ilvl="0">
      <w:start w:val="1"/>
      <w:numFmt w:val="decimal"/>
      <w:lvlText w:val="%1."/>
      <w:lvlJc w:val="right"/>
      <w:pPr>
        <w:ind w:left="600" w:hanging="5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right"/>
      <w:pPr>
        <w:ind w:left="1200" w:hanging="5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1">
      <w:startOverride w:val="1"/>
    </w:lvlOverride>
  </w:num>
</w:numbering>
</file>

<file path=word/settings.xml><?xml version="1.0" encoding="utf-8"?>
<w:settings xmlns:w="http://schemas.openxmlformats.org/wordprocessingml/2006/main">
  <w:zoom w:percent="100"/>
  <w:defaultTabStop w:val="708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000000"/>
        <w:kern w:val="2"/>
        <w:sz w:val="22"/>
        <w:szCs w:val="22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  <w:pPr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95" w:after="295"/>
      <w:outlineLvl w:val="0"/>
    </w:pPr>
    <w:rPr>
      <w:b/>
      <w:bCs/>
      <w:sz w:val="44"/>
      <w:szCs w:val="44"/>
    </w:rPr>
  </w:style>
  <w:style w:type="paragraph" w:styleId="Heading2">
    <w:name w:val="heading 2"/>
    <w:basedOn w:val="Normal"/>
    <w:next w:val="Normal"/>
    <w:uiPriority w:val="9"/>
    <w:qFormat/>
    <w:pPr>
      <w:keepNext/>
      <w:keepLines/>
      <w:spacing w:before="274" w:after="274"/>
      <w:outlineLvl w:val="1"/>
    </w:pPr>
    <w:rPr>
      <w:b/>
      <w:bCs/>
      <w:sz w:val="33"/>
      <w:szCs w:val="33"/>
    </w:rPr>
  </w:style>
  <w:style w:type="paragraph" w:styleId="Heading3">
    <w:name w:val="heading 3"/>
    <w:basedOn w:val="Normal"/>
    <w:next w:val="Normal"/>
    <w:uiPriority w:val="9"/>
    <w:qFormat/>
    <w:pPr>
      <w:keepNext/>
      <w:keepLines/>
      <w:spacing w:before="257" w:after="257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uiPriority w:val="9"/>
    <w:qFormat/>
    <w:pPr>
      <w:keepNext/>
      <w:keepLines/>
      <w:spacing w:before="293" w:after="293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qFormat/>
    <w:pPr>
      <w:keepNext/>
      <w:keepLines/>
      <w:spacing w:before="305" w:after="30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qFormat/>
    <w:pPr>
      <w:keepNext/>
      <w:keepLines/>
      <w:spacing w:before="343" w:after="343"/>
      <w:outlineLvl w:val="5"/>
    </w:pPr>
    <w:rPr>
      <w:b/>
      <w:bCs/>
      <w:sz w:val="15"/>
      <w:szCs w:val="15"/>
    </w:rPr>
  </w:style>
  <w:style w:type="paragraph" w:styleId="Caption">
    <w:name w:val="caption"/>
    <w:basedOn w:val="Normal"/>
    <w:qFormat/>
    <w:pPr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numbering" Target="numbering.xml"/><Relationship Id="rId4" Type="http://schemas.openxmlformats.org/officeDocument/2006/relationships/hyperlink" Target="https://example.com/q2" TargetMode="External"/><Relationship Id="rId5" Type="http://schemas.openxmlformats.org/officeDocument/2006/relationships/image" Target="media/image1.png"/></Relationships>

</file>

<file path=docProps/app.xml><?xml version="1.0" encoding="utf-8"?>
<Properties xmlns="http://schemas.openxmlformats.org/officeDocument/2006/extended-properties">
  <Application>kovami/htmldocx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notes</dc:title>
  <dcterms:created xsi:type="dcterms:W3CDTF">2026-07-01T00:00:00Z</dcterms:created>
  <dcterms:modified xsi:type="dcterms:W3CDTF">2026-07-01T00:00:00Z</dcterms:modified>
</cp:coreProperties>
</file>