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="http://schemas.openxmlformats.org/officeDocument/2006/math">
  <w:body>
    <w:p>
      <w:pPr>
        <w:spacing w:after="80" w:line="240" w:lineRule="auto"/>
        <w:rPr>
          <w:rFonts w:ascii="Calibri Light" w:hAnsi="Calibri Light" w:eastAsia="Calibri Light" w:cs="Calibri Light"/>
          <w:sz w:val="56"/>
          <w:szCs w:val="56"/>
        </w:rPr>
      </w:pPr>
      <w:r>
        <w:rPr>
          <w:rFonts w:ascii="Calibri Light" w:hAnsi="Calibri Light" w:eastAsia="Calibri Light" w:cs="Calibri Light"/>
          <w:spacing w:val="-10"/>
          <w:sz w:val="56"/>
          <w:szCs w:val="56"/>
        </w:rPr>
        <w:t xml:space="preserve">Quarterly report</w:t>
      </w:r>
    </w:p>
    <w:p>
      <w:pPr>
        <w:spacing w:after="160" w:line="278" w:lineRule="auto"/>
        <w:rPr>
          <w:color w:val="595959"/>
          <w:sz w:val="28"/>
          <w:szCs w:val="28"/>
        </w:rPr>
      </w:pPr>
      <w:r>
        <w:rPr>
          <w:color w:val="595959"/>
          <w:spacing w:val="15"/>
          <w:sz w:val="28"/>
          <w:szCs w:val="28"/>
        </w:rPr>
        <w:t xml:space="preserve">Harbor &amp; Pine Co. · Second quarter 2026</w:t>
      </w:r>
    </w:p>
    <w:p>
      <w:pPr>
        <w:pStyle w:val="Heading1"/>
        <w:keepNext/>
        <w:keepLines/>
        <w:spacing w:before="360" w:after="80" w:line="278" w:lineRule="auto"/>
        <w:rPr>
          <w:rFonts w:ascii="Calibri Light" w:hAnsi="Calibri Light" w:eastAsia="Calibri Light" w:cs="Calibri Light"/>
          <w:b w:val="0"/>
          <w:bCs w:val="0"/>
          <w:color w:val="335593"/>
          <w:sz w:val="40"/>
          <w:szCs w:val="40"/>
        </w:rPr>
      </w:pPr>
      <w:r>
        <w:rPr>
          <w:rFonts w:ascii="Calibri Light" w:hAnsi="Calibri Light" w:eastAsia="Calibri Light" w:cs="Calibri Light"/>
          <w:b w:val="0"/>
          <w:bCs w:val="0"/>
          <w:color w:val="335593"/>
          <w:sz w:val="40"/>
          <w:szCs w:val="40"/>
        </w:rPr>
        <w:t xml:space="preserve">Summary</w:t>
      </w:r>
    </w:p>
    <w:p>
      <w:pPr>
        <w:spacing w:after="160" w:line="27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Revenue reached </w:t>
      </w:r>
      <w:r>
        <w:rPr>
          <w:b/>
          <w:bCs/>
          <w:sz w:val="24"/>
          <w:szCs w:val="24"/>
        </w:rPr>
        <w:t xml:space="preserve">3.4 million dollars</w:t>
      </w:r>
      <w:r>
        <w:rPr>
          <w:sz w:val="24"/>
          <w:szCs w:val="24"/>
        </w:rPr>
        <w:t xml:space="preserve">, 15% more than in the first quarter and </w:t>
      </w:r>
      <w:commentRangeStart w:id="1"/>
      <w:r>
        <w:rPr>
          <w:sz w:val="24"/>
          <w:szCs w:val="24"/>
        </w:rPr>
        <w:t xml:space="preserve">ahead of plan</w:t>
      </w:r>
      <w:commentRangeEnd w:id="1"/>
      <w:r>
        <w:commentReference w:id="1"/>
      </w:r>
      <w:r>
        <w:rPr>
          <w:sz w:val="24"/>
          <w:szCs w:val="24"/>
        </w:rPr>
        <w:t xml:space="preserve">. Growth came from the north, where a new store opened, and from online orders in the west</w:t>
      </w:r>
      <w:r>
        <w:rPr>
          <w:sz w:val="24"/>
          <w:szCs w:val="24"/>
          <w:vertAlign w:val="superscript"/>
        </w:rPr>
        <w:footnoteReference w:id="1"/>
      </w:r>
      <w:r>
        <w:rPr>
          <w:sz w:val="24"/>
          <w:szCs w:val="24"/>
        </w:rPr>
        <w:t xml:space="preserve">. Costs stayed </w:t>
      </w:r>
      <w:r>
        <w:rPr>
          <w:i/>
          <w:iCs/>
          <w:sz w:val="24"/>
          <w:szCs w:val="24"/>
        </w:rPr>
        <w:t xml:space="preserve">within budget</w:t>
      </w:r>
      <w:r>
        <w:rPr>
          <w:sz w:val="24"/>
          <w:szCs w:val="24"/>
        </w:rPr>
        <w:t xml:space="preserve"> for the third quarter in a row.</w:t>
      </w:r>
    </w:p>
    <w:p>
      <w:pPr>
        <w:numPr>
          <w:ilvl w:val="0"/>
          <w:numId w:val="1"/>
        </w:numPr>
        <w:spacing w:line="278" w:lineRule="auto"/>
        <w:ind w:left="720" w:hanging="245"/>
        <w:rPr>
          <w:sz w:val="24"/>
          <w:szCs w:val="24"/>
        </w:rPr>
      </w:pPr>
      <w:r>
        <w:rPr>
          <w:sz w:val="24"/>
          <w:szCs w:val="24"/>
        </w:rPr>
        <w:t xml:space="preserve">Revenue: 3.4 M$, +15%</w:t>
      </w:r>
    </w:p>
    <w:p>
      <w:pPr>
        <w:numPr>
          <w:ilvl w:val="0"/>
          <w:numId w:val="1"/>
        </w:numPr>
        <w:spacing w:line="278" w:lineRule="auto"/>
        <w:ind w:left="720" w:hanging="245"/>
        <w:rPr>
          <w:sz w:val="24"/>
          <w:szCs w:val="24"/>
        </w:rPr>
      </w:pPr>
      <w:r>
        <w:rPr>
          <w:sz w:val="24"/>
          <w:szCs w:val="24"/>
        </w:rPr>
        <w:t xml:space="preserve">Operating margin: 18%, +2 points</w:t>
      </w:r>
    </w:p>
    <w:p>
      <w:pPr>
        <w:numPr>
          <w:ilvl w:val="0"/>
          <w:numId w:val="1"/>
        </w:numPr>
        <w:spacing w:line="278" w:lineRule="auto"/>
        <w:ind w:left="720" w:hanging="245"/>
        <w:rPr>
          <w:sz w:val="24"/>
          <w:szCs w:val="24"/>
        </w:rPr>
      </w:pPr>
      <w:r>
        <w:rPr>
          <w:sz w:val="24"/>
          <w:szCs w:val="24"/>
        </w:rPr>
        <w:t xml:space="preserve">Online share of sales: 21%</w:t>
      </w:r>
    </w:p>
    <w:p>
      <w:pPr>
        <w:numPr>
          <w:ilvl w:val="1"/>
          <w:numId w:val="2"/>
        </w:numPr>
        <w:spacing w:after="160" w:line="278" w:lineRule="auto"/>
        <w:ind w:left="1440" w:hanging="274"/>
        <w:rPr>
          <w:sz w:val="24"/>
          <w:szCs w:val="24"/>
        </w:rPr>
      </w:pPr>
      <w:r>
        <w:rPr>
          <w:sz w:val="24"/>
          <w:szCs w:val="24"/>
        </w:rPr>
        <w:t xml:space="preserve">twice the share a year ago</w:t>
      </w:r>
    </w:p>
    <w:p>
      <w:pPr>
        <w:pStyle w:val="Heading1"/>
        <w:keepNext/>
        <w:keepLines/>
        <w:spacing w:before="360" w:after="80" w:line="278" w:lineRule="auto"/>
        <w:rPr>
          <w:rFonts w:ascii="Calibri Light" w:hAnsi="Calibri Light" w:eastAsia="Calibri Light" w:cs="Calibri Light"/>
          <w:b w:val="0"/>
          <w:bCs w:val="0"/>
          <w:color w:val="335593"/>
          <w:sz w:val="40"/>
          <w:szCs w:val="40"/>
        </w:rPr>
      </w:pPr>
      <w:r>
        <w:rPr>
          <w:rFonts w:ascii="Calibri Light" w:hAnsi="Calibri Light" w:eastAsia="Calibri Light" w:cs="Calibri Light"/>
          <w:b w:val="0"/>
          <w:bCs w:val="0"/>
          <w:color w:val="335593"/>
          <w:sz w:val="40"/>
          <w:szCs w:val="40"/>
        </w:rPr>
        <w:t xml:space="preserve">Sales by region</w:t>
      </w:r>
    </w:p>
    <w:p>
      <w:pPr>
        <w:keepNext/>
        <w:spacing w:after="200" w:line="240" w:lineRule="auto"/>
        <w:rPr>
          <w:color w:val="44546A"/>
          <w:sz w:val="18"/>
          <w:szCs w:val="18"/>
        </w:rPr>
      </w:pPr>
      <w:r>
        <w:rPr>
          <w:i/>
          <w:iCs/>
          <w:color w:val="44546A"/>
          <w:sz w:val="18"/>
          <w:szCs w:val="18"/>
        </w:rPr>
        <w:t xml:space="preserve">Table 1. Revenue by region, thousand dollars</w:t>
      </w: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2398"/>
        <w:gridCol w:w="1798"/>
        <w:gridCol w:w="1798"/>
        <w:gridCol w:w="3351"/>
      </w:tblGrid>
      <w:tr>
        <w:trPr>
          <w:tblHeader/>
        </w:trPr>
        <w:tc>
          <w:tcPr>
            <w:tcW w:w="2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Region</w:t>
            </w:r>
          </w:p>
        </w:tc>
        <w:tc>
          <w:tcPr>
            <w:tcW w:w="3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Revenue, k$</w:t>
            </w:r>
          </w:p>
        </w:tc>
        <w:tc>
          <w:tcPr>
            <w:tcW w:w="3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Comment</w:t>
            </w:r>
          </w:p>
        </w:tc>
      </w:tr>
      <w:tr>
        <w:trPr>
          <w:tblHeader/>
        </w:trPr>
        <w:tc>
          <w:tcPr>
            <w:tcW w:w="23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/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Q1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Q2</w:t>
            </w:r>
          </w:p>
        </w:tc>
        <w:tc>
          <w:tcPr>
            <w:tcW w:w="33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/>
          </w:p>
        </w:tc>
      </w:tr>
      <w:tr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North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1 240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1 510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New store opened in May.</w:t>
            </w:r>
          </w:p>
        </w:tc>
      </w:tr>
      <w:tr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South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980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1 020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Flat, as planned.</w:t>
            </w:r>
          </w:p>
        </w:tc>
      </w:tr>
      <w:tr>
        <w:tc>
          <w:tcPr>
            <w:tcW w:w="2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West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760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905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Online orders doubled.</w:t>
            </w:r>
          </w:p>
        </w:tc>
      </w:tr>
      <w:tr>
        <w:tc>
          <w:tcPr>
            <w:tcW w:w="23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/>
          </w:p>
        </w:tc>
        <w:tc>
          <w:tcPr>
            <w:tcW w:w="3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Two stores merged into one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</w:tr>
      <w:tr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Total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2 980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3 435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+15.3%</w:t>
            </w:r>
          </w:p>
        </w:tc>
      </w:tr>
    </w:tbl>
    <w:p>
      <w:pPr>
        <w:pStyle w:val="Heading1"/>
        <w:keepNext/>
        <w:keepLines/>
        <w:spacing w:before="360" w:after="80" w:line="278" w:lineRule="auto"/>
        <w:rPr>
          <w:rFonts w:ascii="Calibri Light" w:hAnsi="Calibri Light" w:eastAsia="Calibri Light" w:cs="Calibri Light"/>
          <w:b w:val="0"/>
          <w:bCs w:val="0"/>
          <w:color w:val="335593"/>
          <w:sz w:val="40"/>
          <w:szCs w:val="40"/>
        </w:rPr>
      </w:pPr>
      <w:r>
        <w:rPr>
          <w:rFonts w:ascii="Calibri Light" w:hAnsi="Calibri Light" w:eastAsia="Calibri Light" w:cs="Calibri Light"/>
          <w:b w:val="0"/>
          <w:bCs w:val="0"/>
          <w:color w:val="335593"/>
          <w:sz w:val="40"/>
          <w:szCs w:val="40"/>
        </w:rPr>
        <w:t xml:space="preserve">Growth</w:t>
      </w:r>
    </w:p>
    <w:p>
      <w:pPr>
        <w:spacing w:after="160" w:line="27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Quarterly growth is measured as the change of revenue against the previous quarter, where R</w:t>
      </w:r>
      <w:r>
        <w:rPr>
          <w:sz w:val="24"/>
          <w:szCs w:val="24"/>
          <w:vertAlign w:val="subscript"/>
        </w:rPr>
        <w:t xml:space="preserve">1</w:t>
      </w:r>
      <w:r>
        <w:rPr>
          <w:sz w:val="24"/>
          <w:szCs w:val="24"/>
        </w:rPr>
        <w:t xml:space="preserve"> and R</w:t>
      </w:r>
      <w:r>
        <w:rPr>
          <w:sz w:val="24"/>
          <w:szCs w:val="24"/>
          <w:vertAlign w:val="subscript"/>
        </w:rPr>
        <w:t xml:space="preserve">2</w:t>
      </w:r>
      <w:r>
        <w:rPr>
          <w:sz w:val="24"/>
          <w:szCs w:val="24"/>
        </w:rPr>
        <w:t xml:space="preserve"> are the revenues of the two quarters:</w:t>
      </w:r>
    </w:p>
    <w:p>
      <w:pPr>
        <w:spacing w:after="160" w:line="278" w:lineRule="auto"/>
        <w:rPr>
          <w:sz w:val="24"/>
          <w:szCs w:val="24"/>
        </w:rPr>
      </w:pPr>
      <m:oMath>
        <m:r>
          <w:rPr>
            <w:sz w:val="24"/>
            <w:szCs w:val="24"/>
          </w:rPr>
          <m:t xml:space="preserve">g=</m:t>
        </m:r>
        <m:f>
          <m:num>
            <m:sSub>
              <m:e>
                <m:r>
                  <w:rPr>
                    <w:sz w:val="24"/>
                    <w:szCs w:val="24"/>
                  </w:rPr>
                  <m:t xml:space="preserve">R</m:t>
                </m:r>
              </m:e>
              <m:sub>
                <m:r>
                  <w:rPr>
                    <w:sz w:val="24"/>
                    <w:szCs w:val="24"/>
                  </w:rPr>
                  <m:t xml:space="preserve">2</m:t>
                </m:r>
              </m:sub>
            </m:sSub>
            <m:r>
              <w:rPr>
                <w:sz w:val="24"/>
                <w:szCs w:val="24"/>
              </w:rPr>
              <m:t xml:space="preserve">-</m:t>
            </m:r>
            <m:sSub>
              <m:e>
                <m:r>
                  <w:rPr>
                    <w:sz w:val="24"/>
                    <w:szCs w:val="24"/>
                  </w:rPr>
                  <m:t xml:space="preserve">R</m:t>
                </m:r>
              </m:e>
              <m:sub>
                <m:r>
                  <w:rPr>
                    <w:sz w:val="24"/>
                    <w:szCs w:val="24"/>
                  </w:rPr>
                  <m:t xml:space="preserve">1</m:t>
                </m:r>
              </m:sub>
            </m:sSub>
          </m:num>
          <m:den>
            <m:sSub>
              <m:e>
                <m:r>
                  <w:rPr>
                    <w:sz w:val="24"/>
                    <w:szCs w:val="24"/>
                  </w:rPr>
                  <m:t xml:space="preserve">R</m:t>
                </m:r>
              </m:e>
              <m:sub>
                <m:r>
                  <w:rPr>
                    <w:sz w:val="24"/>
                    <w:szCs w:val="24"/>
                  </w:rPr>
                  <m:t xml:space="preserve">1</m:t>
                </m:r>
              </m:sub>
            </m:sSub>
          </m:den>
        </m:f>
        <m:r>
          <w:rPr>
            <w:sz w:val="24"/>
            <w:szCs w:val="24"/>
          </w:rPr>
          <m:t xml:space="preserve">×100%</m:t>
        </m:r>
      </m:oMath>
    </w:p>
    <w:p>
      <w:pPr>
        <w:spacing w:after="144" w:line="295" w:lineRule="auto"/>
        <w:jc w:val="center"/>
      </w:pPr>
      <w:r>
        <w:drawing>
          <wp:inline distT="0" distB="0" distL="0" distR="0">
            <wp:extent cx="3048000" cy="14001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line="240" w:lineRule="auto"/>
        <w:jc w:val="center"/>
        <w:rPr>
          <w:color w:val="44546A"/>
          <w:sz w:val="18"/>
          <w:szCs w:val="18"/>
        </w:rPr>
      </w:pPr>
      <w:r>
        <w:rPr>
          <w:i/>
          <w:iCs/>
          <w:color w:val="44546A"/>
          <w:sz w:val="18"/>
          <w:szCs w:val="18"/>
        </w:rPr>
        <w:t xml:space="preserve">Figure 1. Revenue in April, May and June, thousand dollars: last year (light) and this year (dark)</w:t>
      </w:r>
    </w:p>
    <w:p>
      <w:pPr>
        <w:spacing w:after="160" w:line="27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Every month of the quarter beat the same month of last year. June was the strongest month on record</w:t>
      </w:r>
      <w:r>
        <w:rPr>
          <w:sz w:val="24"/>
          <w:szCs w:val="24"/>
          <w:vertAlign w:val="superscript"/>
        </w:rPr>
        <w:footnoteReference w:id="2"/>
      </w:r>
      <w:r>
        <w:rPr>
          <w:sz w:val="24"/>
          <w:szCs w:val="24"/>
        </w:rPr>
        <w:t xml:space="preserve">; the summer sale moved part of the July demand into it, so July will look weaker in comparison.</w:t>
      </w:r>
    </w:p>
    <w:p>
      <w:pPr>
        <w:pStyle w:val="Heading1"/>
        <w:keepNext/>
        <w:keepLines/>
        <w:spacing w:before="360" w:after="80" w:line="278" w:lineRule="auto"/>
        <w:rPr>
          <w:rFonts w:ascii="Calibri Light" w:hAnsi="Calibri Light" w:eastAsia="Calibri Light" w:cs="Calibri Light"/>
          <w:b w:val="0"/>
          <w:bCs w:val="0"/>
          <w:color w:val="335593"/>
          <w:sz w:val="40"/>
          <w:szCs w:val="40"/>
        </w:rPr>
      </w:pPr>
      <w:r>
        <w:rPr>
          <w:rFonts w:ascii="Calibri Light" w:hAnsi="Calibri Light" w:eastAsia="Calibri Light" w:cs="Calibri Light"/>
          <w:b w:val="0"/>
          <w:bCs w:val="0"/>
          <w:color w:val="335593"/>
          <w:sz w:val="40"/>
          <w:szCs w:val="40"/>
        </w:rPr>
        <w:t xml:space="preserve">Next steps</w:t>
      </w:r>
    </w:p>
    <w:p>
      <w:pPr>
        <w:numPr>
          <w:ilvl w:val="0"/>
          <w:numId w:val="3"/>
        </w:numPr>
        <w:spacing w:line="278" w:lineRule="auto"/>
        <w:ind w:left="720" w:hanging="54"/>
        <w:rPr>
          <w:sz w:val="24"/>
          <w:szCs w:val="24"/>
        </w:rPr>
      </w:pPr>
      <w:r>
        <w:rPr>
          <w:sz w:val="24"/>
          <w:szCs w:val="24"/>
        </w:rPr>
        <w:t xml:space="preserve">Open the second store in the north</w:t>
      </w:r>
    </w:p>
    <w:p>
      <w:pPr>
        <w:numPr>
          <w:ilvl w:val="1"/>
          <w:numId w:val="4"/>
        </w:numPr>
        <w:spacing w:line="278" w:lineRule="auto"/>
        <w:ind w:left="1440" w:hanging="54"/>
        <w:rPr>
          <w:sz w:val="24"/>
          <w:szCs w:val="24"/>
        </w:rPr>
      </w:pPr>
      <w:r>
        <w:rPr>
          <w:sz w:val="24"/>
          <w:szCs w:val="24"/>
        </w:rPr>
        <w:t xml:space="preserve">Choose the site by the end of July</w:t>
      </w:r>
    </w:p>
    <w:p>
      <w:pPr>
        <w:numPr>
          <w:ilvl w:val="1"/>
          <w:numId w:val="4"/>
        </w:numPr>
        <w:spacing w:line="278" w:lineRule="auto"/>
        <w:ind w:left="1440" w:hanging="54"/>
        <w:rPr>
          <w:sz w:val="24"/>
          <w:szCs w:val="24"/>
        </w:rPr>
      </w:pPr>
      <w:r>
        <w:rPr>
          <w:sz w:val="24"/>
          <w:szCs w:val="24"/>
        </w:rPr>
        <w:t xml:space="preserve">Hire and train the staff in August</w:t>
      </w:r>
    </w:p>
    <w:p>
      <w:pPr>
        <w:numPr>
          <w:ilvl w:val="0"/>
          <w:numId w:val="3"/>
        </w:numPr>
        <w:spacing w:line="278" w:lineRule="auto"/>
        <w:ind w:left="720" w:hanging="54"/>
        <w:rPr>
          <w:sz w:val="24"/>
          <w:szCs w:val="24"/>
        </w:rPr>
      </w:pPr>
      <w:r>
        <w:rPr>
          <w:sz w:val="24"/>
          <w:szCs w:val="24"/>
        </w:rPr>
        <w:t xml:space="preserve">Move the west region fully online</w:t>
      </w:r>
    </w:p>
    <w:p>
      <w:pPr>
        <w:numPr>
          <w:ilvl w:val="0"/>
          <w:numId w:val="3"/>
        </w:numPr>
        <w:spacing w:after="160" w:line="278" w:lineRule="auto"/>
        <w:ind w:left="720" w:hanging="54"/>
        <w:rPr>
          <w:sz w:val="24"/>
          <w:szCs w:val="24"/>
        </w:rPr>
      </w:pPr>
      <w:r>
        <w:rPr>
          <w:sz w:val="24"/>
          <w:szCs w:val="24"/>
        </w:rPr>
        <w:t xml:space="preserve">Report the third quarter by </w:t>
      </w:r>
      <w:r>
        <w:rPr>
          <w:b/>
          <w:bCs/>
          <w:sz w:val="24"/>
          <w:szCs w:val="24"/>
        </w:rPr>
        <w:t xml:space="preserve">15 October</w:t>
      </w:r>
    </w:p>
    <w:sectPr>
      <w:headerReference w:type="default" r:id="rId4"/>
      <w:footerReference w:type="default" r:id="rId5"/>
      <w:pgSz w:w="11906" w:h="16838"/>
      <w:pgMar w:top="1134" w:right="850" w:bottom="1134" w:left="1701" w:header="708" w:footer="708" w:gutter="0"/>
      <w:cols w:space="708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="http://schemas.openxmlformats.org/officeDocument/2006/math">
  <w:comment w:id="1" w:author="Reviewer" w:date="2026-07-02T09:00:00Z" w:initials="R">
    <w:p>
      <w:pPr>
        <w:spacing w:after="160" w:line="278" w:lineRule="auto"/>
        <w:rPr>
          <w:sz w:val="24"/>
          <w:szCs w:val="24"/>
        </w:rPr>
      </w:pPr>
      <w:r>
        <w:annotationRef/>
      </w:r>
      <w:r>
        <w:rPr>
          <w:sz w:val="24"/>
          <w:szCs w:val="24"/>
        </w:rPr>
        <w:t xml:space="preserve">Check against the final ledger before publishing.</w:t>
      </w:r>
    </w:p>
  </w:comment>
</w:comme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="http://schemas.openxmlformats.org/officeDocument/2006/math">
  <w:p>
    <w:pPr>
      <w:spacing w:after="160" w:line="278" w:lineRule="auto"/>
      <w:jc w:val="center"/>
      <w:rPr>
        <w:sz w:val="24"/>
        <w:szCs w:val="24"/>
      </w:rPr>
    </w:pPr>
    <w:r>
      <w:rPr>
        <w:color w:val="7F7F7F"/>
        <w:sz w:val="18"/>
        <w:szCs w:val="18"/>
      </w:rPr>
      <w:t xml:space="preserve">Page </w:t>
    </w:r>
    <w:fldSimple w:instr=" PAGE ">
      <w:r>
        <w:rPr>
          <w:color w:val="7F7F7F"/>
          <w:sz w:val="18"/>
          <w:szCs w:val="18"/>
        </w:rPr>
        <w:t xml:space="preserve">1</w:t>
      </w:r>
    </w:fldSimple>
    <w:r>
      <w:rPr>
        <w:color w:val="7F7F7F"/>
        <w:sz w:val="18"/>
        <w:szCs w:val="18"/>
      </w:rPr>
      <w:t xml:space="preserve"> of </w:t>
    </w:r>
    <w:fldSimple w:instr=" NUMPAGES ">
      <w:r>
        <w:rPr>
          <w:color w:val="7F7F7F"/>
          <w:sz w:val="18"/>
          <w:szCs w:val="18"/>
        </w:rPr>
        <w:t xml:space="preserve">2</w:t>
      </w:r>
    </w:fldSimple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="http://schemas.openxmlformats.org/officeDocument/2006/math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spacing w:line="240" w:lineRule="auto"/>
        <w:rPr>
          <w:sz w:val="24"/>
          <w:szCs w:val="24"/>
        </w:rPr>
      </w:pPr>
      <w:r>
        <w:footnoteRef/>
      </w:r>
      <w:r>
        <w:rPr>
          <w:sz w:val="20"/>
          <w:szCs w:val="20"/>
        </w:rPr>
        <w:t xml:space="preserve">Online orders are counted in the region of the warehouse that shipped them.</w:t>
      </w:r>
    </w:p>
  </w:footnote>
  <w:footnote w:id="2">
    <w:p>
      <w:pPr>
        <w:spacing w:line="240" w:lineRule="auto"/>
        <w:rPr>
          <w:sz w:val="24"/>
          <w:szCs w:val="24"/>
        </w:rPr>
      </w:pPr>
      <w:r>
        <w:footnoteRef/>
      </w:r>
      <w:r>
        <w:rPr>
          <w:sz w:val="20"/>
          <w:szCs w:val="20"/>
        </w:rPr>
        <w:t xml:space="preserve">Since the company started monthly reporting in 2019.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="http://schemas.openxmlformats.org/officeDocument/2006/math">
  <w:p>
    <w:pPr>
      <w:spacing w:after="160" w:line="278" w:lineRule="auto"/>
      <w:jc w:val="right"/>
      <w:rPr>
        <w:sz w:val="24"/>
        <w:szCs w:val="24"/>
      </w:rPr>
    </w:pPr>
    <w:r>
      <w:rPr>
        <w:color w:val="7F7F7F"/>
        <w:sz w:val="18"/>
        <w:szCs w:val="18"/>
      </w:rPr>
      <w:t xml:space="preserve">Harbor &amp; Pine Co. · Quarterly report Q2 2026</w:t>
    </w:r>
  </w:p>
</w:hd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"/>
      <w:lvlJc w:val="left"/>
      <w:pPr>
        <w:ind w:left="720" w:hanging="245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274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decimal"/>
      <w:lvlText w:val="%1."/>
      <w:lvlJc w:val="right"/>
      <w:pPr>
        <w:ind w:left="720" w:hanging="54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right"/>
      <w:pPr>
        <w:ind w:left="1440" w:hanging="54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1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footnotePr>
    <w:footnote w:id="-1"/>
    <w:footnote w:id="0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000000"/>
        <w:kern w:val="2"/>
        <w:sz w:val="22"/>
        <w:szCs w:val="22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pPr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22" w:after="322"/>
      <w:outlineLvl w:val="0"/>
    </w:pPr>
    <w:rPr>
      <w:rFonts w:ascii="Helvetica Neue" w:hAnsi="Helvetica Neue" w:eastAsia="Helvetica Neue" w:cs="Helvetica Neue"/>
      <w:b/>
      <w:bCs/>
      <w:color w:val="333333"/>
      <w:sz w:val="48"/>
      <w:szCs w:val="48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99" w:after="299"/>
      <w:outlineLvl w:val="1"/>
    </w:pPr>
    <w:rPr>
      <w:rFonts w:ascii="Helvetica Neue" w:hAnsi="Helvetica Neue" w:eastAsia="Helvetica Neue" w:cs="Helvetica Neue"/>
      <w:b/>
      <w:bCs/>
      <w:color w:val="333333"/>
      <w:sz w:val="36"/>
      <w:szCs w:val="3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281" w:after="281"/>
      <w:outlineLvl w:val="2"/>
    </w:pPr>
    <w:rPr>
      <w:rFonts w:ascii="Helvetica Neue" w:hAnsi="Helvetica Neue" w:eastAsia="Helvetica Neue" w:cs="Helvetica Neue"/>
      <w:b/>
      <w:bCs/>
      <w:color w:val="333333"/>
      <w:sz w:val="28"/>
      <w:szCs w:val="28"/>
    </w:rPr>
  </w:style>
  <w:style w:type="paragraph" w:styleId="Heading4">
    <w:name w:val="heading 4"/>
    <w:basedOn w:val="Normal"/>
    <w:next w:val="Normal"/>
    <w:uiPriority w:val="9"/>
    <w:qFormat/>
    <w:pPr>
      <w:keepNext/>
      <w:keepLines/>
      <w:spacing w:before="319" w:after="319"/>
      <w:outlineLvl w:val="3"/>
    </w:pPr>
    <w:rPr>
      <w:rFonts w:ascii="Helvetica Neue" w:hAnsi="Helvetica Neue" w:eastAsia="Helvetica Neue" w:cs="Helvetica Neue"/>
      <w:b/>
      <w:bCs/>
      <w:color w:val="333333"/>
      <w:sz w:val="24"/>
      <w:szCs w:val="24"/>
    </w:rPr>
  </w:style>
  <w:style w:type="paragraph" w:styleId="Heading5">
    <w:name w:val="heading 5"/>
    <w:basedOn w:val="Normal"/>
    <w:next w:val="Normal"/>
    <w:uiPriority w:val="9"/>
    <w:qFormat/>
    <w:pPr>
      <w:keepNext/>
      <w:keepLines/>
      <w:spacing w:before="333" w:after="333"/>
      <w:outlineLvl w:val="4"/>
    </w:pPr>
    <w:rPr>
      <w:rFonts w:ascii="Helvetica Neue" w:hAnsi="Helvetica Neue" w:eastAsia="Helvetica Neue" w:cs="Helvetica Neue"/>
      <w:b/>
      <w:bCs/>
      <w:color w:val="333333"/>
      <w:sz w:val="20"/>
      <w:szCs w:val="20"/>
    </w:rPr>
  </w:style>
  <w:style w:type="paragraph" w:styleId="Heading6">
    <w:name w:val="heading 6"/>
    <w:basedOn w:val="Normal"/>
    <w:next w:val="Normal"/>
    <w:uiPriority w:val="9"/>
    <w:qFormat/>
    <w:pPr>
      <w:keepNext/>
      <w:keepLines/>
      <w:spacing w:before="375" w:after="375"/>
      <w:outlineLvl w:val="5"/>
    </w:pPr>
    <w:rPr>
      <w:rFonts w:ascii="Helvetica Neue" w:hAnsi="Helvetica Neue" w:eastAsia="Helvetica Neue" w:cs="Helvetica Neue"/>
      <w:b/>
      <w:bCs/>
      <w:color w:val="333333"/>
      <w:sz w:val="16"/>
      <w:szCs w:val="16"/>
    </w:rPr>
  </w:style>
  <w:style w:type="paragraph" w:styleId="Caption">
    <w:name w:val="caption"/>
    <w:basedOn w:val="Normal"/>
    <w:qFormat/>
    <w:pPr>
      <w:jc w:val="center"/>
    </w:pPr>
    <w:rPr>
      <w:rFonts w:ascii="Helvetica Neue" w:hAnsi="Helvetica Neue" w:eastAsia="Helvetica Neue" w:cs="Helvetica Neue"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
</file>

<file path=docProps/app.xml><?xml version="1.0" encoding="utf-8"?>
<Properties xmlns="http://schemas.openxmlformats.org/officeDocument/2006/extended-properties">
  <Application>kovami/htmldocx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report (SunEditor profile)</dc:title>
  <dcterms:created xsi:type="dcterms:W3CDTF">2026-07-01T00:00:00Z</dcterms:created>
  <dcterms:modified xsi:type="dcterms:W3CDTF">2026-07-01T00:00:00Z</dcterms:modified>
</cp:coreProperties>
</file>